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45" w:rsidRPr="00172283" w:rsidRDefault="000F5445" w:rsidP="000F5445">
      <w:pPr>
        <w:tabs>
          <w:tab w:val="center" w:pos="6480"/>
        </w:tabs>
        <w:spacing w:line="360" w:lineRule="auto"/>
        <w:jc w:val="both"/>
        <w:rPr>
          <w:sz w:val="26"/>
          <w:szCs w:val="26"/>
        </w:rPr>
      </w:pPr>
      <w:r w:rsidRPr="00172283">
        <w:rPr>
          <w:sz w:val="26"/>
          <w:szCs w:val="26"/>
        </w:rPr>
        <w:t>Bệnh viện Nhi Đồng 2</w:t>
      </w:r>
      <w:r w:rsidRPr="00172283">
        <w:rPr>
          <w:sz w:val="26"/>
          <w:szCs w:val="26"/>
        </w:rPr>
        <w:tab/>
        <w:t>CỘNG HÒA XÃ HỘI CHỦ NGHĨA VIỆT NAM</w:t>
      </w:r>
    </w:p>
    <w:p w:rsidR="000F5445" w:rsidRPr="00172283" w:rsidRDefault="000F5445" w:rsidP="000F5445">
      <w:pPr>
        <w:tabs>
          <w:tab w:val="center" w:pos="1080"/>
          <w:tab w:val="center" w:pos="6480"/>
        </w:tabs>
        <w:spacing w:line="360" w:lineRule="auto"/>
        <w:jc w:val="both"/>
        <w:rPr>
          <w:sz w:val="26"/>
          <w:szCs w:val="26"/>
        </w:rPr>
      </w:pPr>
      <w:r w:rsidRPr="00172283">
        <w:rPr>
          <w:sz w:val="26"/>
          <w:szCs w:val="26"/>
        </w:rPr>
        <w:tab/>
        <w:t>Khoa Dược</w:t>
      </w:r>
      <w:r w:rsidRPr="00172283">
        <w:rPr>
          <w:sz w:val="26"/>
          <w:szCs w:val="26"/>
        </w:rPr>
        <w:tab/>
        <w:t>Độc Lập – Tự Do – Hạnh Phúc</w:t>
      </w:r>
    </w:p>
    <w:p w:rsidR="000F5445" w:rsidRPr="00172283" w:rsidRDefault="000F5445" w:rsidP="000F5445">
      <w:pPr>
        <w:spacing w:line="360" w:lineRule="auto"/>
        <w:jc w:val="both"/>
        <w:rPr>
          <w:sz w:val="26"/>
          <w:szCs w:val="26"/>
        </w:rPr>
      </w:pPr>
      <w:r w:rsidRPr="00172283">
        <w:rPr>
          <w:sz w:val="26"/>
          <w:szCs w:val="26"/>
        </w:rPr>
        <w:t xml:space="preserve">Đơn vị thông tin thuốc                                                            </w:t>
      </w:r>
      <w:r w:rsidRPr="00172283">
        <w:rPr>
          <w:sz w:val="26"/>
          <w:szCs w:val="26"/>
        </w:rPr>
        <w:sym w:font="Wingdings 2" w:char="F061"/>
      </w:r>
      <w:r w:rsidRPr="00172283">
        <w:rPr>
          <w:sz w:val="26"/>
          <w:szCs w:val="26"/>
        </w:rPr>
        <w:sym w:font="Wingdings 2" w:char="F062"/>
      </w:r>
    </w:p>
    <w:p w:rsidR="000F5445" w:rsidRPr="00172283" w:rsidRDefault="000F5445" w:rsidP="000F5445">
      <w:pPr>
        <w:spacing w:line="360" w:lineRule="auto"/>
        <w:jc w:val="both"/>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565785</wp:posOffset>
            </wp:positionH>
            <wp:positionV relativeFrom="paragraph">
              <wp:posOffset>48260</wp:posOffset>
            </wp:positionV>
            <wp:extent cx="828040" cy="854710"/>
            <wp:effectExtent l="19050" t="0" r="0" b="0"/>
            <wp:wrapTight wrapText="bothSides">
              <wp:wrapPolygon edited="0">
                <wp:start x="12423" y="0"/>
                <wp:lineTo x="2485" y="1926"/>
                <wp:lineTo x="-497" y="3851"/>
                <wp:lineTo x="-497" y="7703"/>
                <wp:lineTo x="3479" y="15406"/>
                <wp:lineTo x="3479" y="18294"/>
                <wp:lineTo x="5466" y="21183"/>
                <wp:lineTo x="7454" y="21183"/>
                <wp:lineTo x="10436" y="21183"/>
                <wp:lineTo x="11926" y="21183"/>
                <wp:lineTo x="19380" y="16368"/>
                <wp:lineTo x="20871" y="15406"/>
                <wp:lineTo x="21368" y="12999"/>
                <wp:lineTo x="21368" y="7221"/>
                <wp:lineTo x="14411" y="0"/>
                <wp:lineTo x="12423" y="0"/>
              </wp:wrapPolygon>
            </wp:wrapTight>
            <wp:docPr id="2" name="Picture 2" descr="j018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86002"/>
                    <pic:cNvPicPr>
                      <a:picLocks noChangeAspect="1" noChangeArrowheads="1"/>
                    </pic:cNvPicPr>
                  </pic:nvPicPr>
                  <pic:blipFill>
                    <a:blip r:embed="rId7" cstate="print"/>
                    <a:srcRect/>
                    <a:stretch>
                      <a:fillRect/>
                    </a:stretch>
                  </pic:blipFill>
                  <pic:spPr bwMode="auto">
                    <a:xfrm>
                      <a:off x="0" y="0"/>
                      <a:ext cx="828040" cy="854710"/>
                    </a:xfrm>
                    <a:prstGeom prst="rect">
                      <a:avLst/>
                    </a:prstGeom>
                    <a:noFill/>
                    <a:ln w="9525">
                      <a:noFill/>
                      <a:miter lim="800000"/>
                      <a:headEnd/>
                      <a:tailEnd/>
                    </a:ln>
                  </pic:spPr>
                </pic:pic>
              </a:graphicData>
            </a:graphic>
          </wp:anchor>
        </w:drawing>
      </w:r>
    </w:p>
    <w:p w:rsidR="000F5445" w:rsidRPr="00172283" w:rsidRDefault="000F5445" w:rsidP="000F5445">
      <w:pPr>
        <w:spacing w:line="360" w:lineRule="auto"/>
        <w:rPr>
          <w:b/>
          <w:shadow/>
          <w:sz w:val="36"/>
          <w:szCs w:val="36"/>
        </w:rPr>
      </w:pPr>
      <w:r>
        <w:rPr>
          <w:b/>
          <w:shadow/>
          <w:sz w:val="36"/>
          <w:szCs w:val="36"/>
        </w:rPr>
        <w:t>THÔNG TIN THUỐC THÁNG 0</w:t>
      </w:r>
      <w:r w:rsidR="00440532">
        <w:rPr>
          <w:b/>
          <w:shadow/>
          <w:sz w:val="36"/>
          <w:szCs w:val="36"/>
        </w:rPr>
        <w:t>2</w:t>
      </w:r>
      <w:r>
        <w:rPr>
          <w:b/>
          <w:shadow/>
          <w:sz w:val="36"/>
          <w:szCs w:val="36"/>
        </w:rPr>
        <w:t>/2014</w:t>
      </w:r>
    </w:p>
    <w:p w:rsidR="000F5445" w:rsidRPr="00172283" w:rsidRDefault="000F5445" w:rsidP="000F5445">
      <w:pPr>
        <w:spacing w:line="360" w:lineRule="auto"/>
        <w:jc w:val="both"/>
        <w:rPr>
          <w:b/>
          <w:sz w:val="26"/>
          <w:szCs w:val="26"/>
        </w:rPr>
      </w:pPr>
    </w:p>
    <w:p w:rsidR="000F5445" w:rsidRPr="00172283" w:rsidRDefault="000F5445" w:rsidP="000F5445">
      <w:pPr>
        <w:tabs>
          <w:tab w:val="left" w:pos="2430"/>
          <w:tab w:val="left" w:pos="4140"/>
        </w:tabs>
        <w:spacing w:line="360" w:lineRule="auto"/>
        <w:ind w:right="-29"/>
        <w:jc w:val="both"/>
        <w:rPr>
          <w:b/>
          <w:sz w:val="26"/>
          <w:szCs w:val="26"/>
        </w:rPr>
      </w:pPr>
    </w:p>
    <w:p w:rsidR="000F5445" w:rsidRPr="00172283" w:rsidRDefault="000F5445" w:rsidP="000F5445">
      <w:pPr>
        <w:tabs>
          <w:tab w:val="left" w:pos="2430"/>
          <w:tab w:val="left" w:pos="4320"/>
        </w:tabs>
        <w:spacing w:line="360" w:lineRule="auto"/>
        <w:ind w:right="-29"/>
        <w:jc w:val="both"/>
        <w:rPr>
          <w:b/>
          <w:sz w:val="26"/>
          <w:szCs w:val="26"/>
        </w:rPr>
      </w:pPr>
      <w:r w:rsidRPr="00172283">
        <w:rPr>
          <w:b/>
          <w:sz w:val="26"/>
          <w:szCs w:val="26"/>
        </w:rPr>
        <w:tab/>
        <w:t>Người thực hiện:</w:t>
      </w:r>
      <w:r w:rsidRPr="00172283">
        <w:rPr>
          <w:b/>
          <w:sz w:val="26"/>
          <w:szCs w:val="26"/>
        </w:rPr>
        <w:tab/>
        <w:t xml:space="preserve"> DS. </w:t>
      </w:r>
      <w:r>
        <w:rPr>
          <w:b/>
          <w:sz w:val="26"/>
          <w:szCs w:val="26"/>
        </w:rPr>
        <w:t>HUỲNH XUÂN LỘC</w:t>
      </w:r>
    </w:p>
    <w:p w:rsidR="000F5445" w:rsidRPr="00172283" w:rsidRDefault="000F5445" w:rsidP="000F5445">
      <w:pPr>
        <w:tabs>
          <w:tab w:val="left" w:pos="2430"/>
          <w:tab w:val="left" w:pos="4320"/>
        </w:tabs>
        <w:spacing w:line="360" w:lineRule="auto"/>
        <w:ind w:right="-29"/>
        <w:jc w:val="both"/>
        <w:rPr>
          <w:b/>
          <w:sz w:val="26"/>
          <w:szCs w:val="26"/>
        </w:rPr>
      </w:pPr>
      <w:r w:rsidRPr="00172283">
        <w:rPr>
          <w:b/>
          <w:sz w:val="26"/>
          <w:szCs w:val="26"/>
        </w:rPr>
        <w:t xml:space="preserve">                                                                   </w:t>
      </w:r>
    </w:p>
    <w:p w:rsidR="000F5445" w:rsidRPr="00172283" w:rsidRDefault="000F5445" w:rsidP="000F5445">
      <w:pPr>
        <w:tabs>
          <w:tab w:val="left" w:pos="2430"/>
          <w:tab w:val="left" w:pos="4320"/>
        </w:tabs>
        <w:spacing w:line="360" w:lineRule="auto"/>
        <w:ind w:right="-29"/>
        <w:jc w:val="center"/>
        <w:rPr>
          <w:b/>
          <w:sz w:val="26"/>
          <w:szCs w:val="26"/>
        </w:rPr>
      </w:pPr>
      <w:r w:rsidRPr="00172283">
        <w:rPr>
          <w:sz w:val="26"/>
          <w:szCs w:val="26"/>
          <w:lang w:val="fr-FR"/>
        </w:rPr>
        <w:t xml:space="preserve">Tổng số trang: </w:t>
      </w:r>
      <w:r w:rsidR="00A30E43">
        <w:rPr>
          <w:sz w:val="26"/>
          <w:szCs w:val="26"/>
          <w:lang w:val="fr-FR"/>
        </w:rPr>
        <w:t>7</w:t>
      </w:r>
    </w:p>
    <w:p w:rsidR="000F5445" w:rsidRPr="00172283" w:rsidRDefault="000F5445" w:rsidP="000F5445">
      <w:pPr>
        <w:spacing w:line="360" w:lineRule="auto"/>
        <w:jc w:val="both"/>
        <w:rPr>
          <w:b/>
          <w:sz w:val="26"/>
          <w:szCs w:val="26"/>
          <w:lang w:val="fr-FR"/>
        </w:rPr>
      </w:pPr>
    </w:p>
    <w:p w:rsidR="00A30E43" w:rsidRPr="00A30E43" w:rsidRDefault="000F5445" w:rsidP="00A30E43">
      <w:pPr>
        <w:numPr>
          <w:ilvl w:val="0"/>
          <w:numId w:val="1"/>
        </w:numPr>
        <w:tabs>
          <w:tab w:val="clear" w:pos="720"/>
          <w:tab w:val="num" w:pos="540"/>
          <w:tab w:val="left" w:pos="6650"/>
        </w:tabs>
        <w:spacing w:before="120" w:after="120"/>
        <w:ind w:left="540" w:hanging="540"/>
        <w:jc w:val="both"/>
        <w:rPr>
          <w:b/>
          <w:sz w:val="28"/>
          <w:szCs w:val="26"/>
        </w:rPr>
      </w:pPr>
      <w:r w:rsidRPr="00A30E43">
        <w:rPr>
          <w:b/>
          <w:sz w:val="28"/>
          <w:szCs w:val="26"/>
        </w:rPr>
        <w:t>THÔNG TIN NGẮN ĐIỂM BÁO</w:t>
      </w:r>
      <w:bookmarkStart w:id="0" w:name="OLE_LINK1"/>
      <w:bookmarkStart w:id="1" w:name="OLE_LINK2"/>
    </w:p>
    <w:p w:rsidR="00A30E43" w:rsidRPr="00A30E43" w:rsidRDefault="00A30E43" w:rsidP="00A30E43">
      <w:pPr>
        <w:tabs>
          <w:tab w:val="left" w:pos="6650"/>
        </w:tabs>
        <w:spacing w:before="120" w:after="120"/>
        <w:ind w:left="426"/>
        <w:jc w:val="both"/>
        <w:rPr>
          <w:b/>
          <w:sz w:val="28"/>
          <w:szCs w:val="26"/>
        </w:rPr>
      </w:pPr>
      <w:r w:rsidRPr="0074717D">
        <w:rPr>
          <w:b/>
          <w:sz w:val="28"/>
          <w:szCs w:val="26"/>
        </w:rPr>
        <w:t>1.</w:t>
      </w:r>
      <w:r w:rsidRPr="00A30E43">
        <w:rPr>
          <w:sz w:val="28"/>
          <w:szCs w:val="26"/>
        </w:rPr>
        <w:t xml:space="preserve"> FDA: KHUYẾN CÁO VỀ VIỆC SỬ DỤNG CÁC THUỐC CHỐNG ĐÔNG CHỨA ENOXAPARIN</w:t>
      </w:r>
    </w:p>
    <w:p w:rsidR="00A30E43" w:rsidRPr="00A30E43" w:rsidRDefault="00A30E43" w:rsidP="00A30E43">
      <w:pPr>
        <w:spacing w:before="120" w:after="120"/>
        <w:ind w:left="426"/>
        <w:jc w:val="both"/>
        <w:rPr>
          <w:sz w:val="28"/>
        </w:rPr>
      </w:pPr>
      <w:r w:rsidRPr="0074717D">
        <w:rPr>
          <w:b/>
          <w:sz w:val="28"/>
        </w:rPr>
        <w:t>2</w:t>
      </w:r>
      <w:r w:rsidRPr="00A30E43">
        <w:rPr>
          <w:sz w:val="28"/>
        </w:rPr>
        <w:t>. CEFTRIAXONE LIÊN QUAN ĐẾN SUY THẬN Ở TRẺ EM</w:t>
      </w:r>
    </w:p>
    <w:bookmarkEnd w:id="0"/>
    <w:bookmarkEnd w:id="1"/>
    <w:p w:rsidR="000F5445" w:rsidRPr="00A30E43" w:rsidRDefault="000F5445" w:rsidP="00A30E43">
      <w:pPr>
        <w:numPr>
          <w:ilvl w:val="0"/>
          <w:numId w:val="1"/>
        </w:numPr>
        <w:tabs>
          <w:tab w:val="clear" w:pos="720"/>
          <w:tab w:val="left" w:pos="6650"/>
        </w:tabs>
        <w:spacing w:before="120" w:after="120"/>
        <w:ind w:left="540" w:hanging="540"/>
        <w:jc w:val="both"/>
        <w:rPr>
          <w:b/>
          <w:sz w:val="28"/>
          <w:szCs w:val="26"/>
        </w:rPr>
      </w:pPr>
      <w:r w:rsidRPr="00A30E43">
        <w:rPr>
          <w:b/>
          <w:sz w:val="28"/>
          <w:szCs w:val="26"/>
        </w:rPr>
        <w:t>THUỐC ĐÌNH CHỈ LƯU HÀNH – THUỐC RÚT SỐ ĐĂNG KÝ</w:t>
      </w:r>
    </w:p>
    <w:p w:rsidR="000F5445" w:rsidRPr="00172283" w:rsidRDefault="000F5445" w:rsidP="000F5445">
      <w:pPr>
        <w:tabs>
          <w:tab w:val="right" w:pos="8640"/>
        </w:tabs>
        <w:spacing w:line="360" w:lineRule="auto"/>
        <w:jc w:val="both"/>
        <w:outlineLvl w:val="0"/>
        <w:rPr>
          <w:sz w:val="26"/>
          <w:szCs w:val="26"/>
        </w:rPr>
      </w:pPr>
      <w:r w:rsidRPr="00172283">
        <w:rPr>
          <w:sz w:val="26"/>
          <w:szCs w:val="26"/>
        </w:rPr>
        <w:tab/>
      </w:r>
    </w:p>
    <w:p w:rsidR="000F5445" w:rsidRPr="00172283" w:rsidRDefault="000F5445" w:rsidP="000F5445">
      <w:pPr>
        <w:tabs>
          <w:tab w:val="right" w:pos="8640"/>
        </w:tabs>
        <w:spacing w:line="360" w:lineRule="auto"/>
        <w:jc w:val="right"/>
        <w:outlineLvl w:val="0"/>
        <w:rPr>
          <w:b/>
          <w:sz w:val="26"/>
          <w:szCs w:val="26"/>
        </w:rPr>
      </w:pPr>
      <w:r w:rsidRPr="00172283">
        <w:rPr>
          <w:b/>
          <w:sz w:val="26"/>
          <w:szCs w:val="26"/>
        </w:rPr>
        <w:t>Hội Đồng Thuốc và Điều Trị</w:t>
      </w:r>
    </w:p>
    <w:p w:rsidR="00676F0E" w:rsidRDefault="00676F0E"/>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A30E43" w:rsidRDefault="00A30E43"/>
    <w:p w:rsidR="00E97F1F" w:rsidRDefault="00E97F1F"/>
    <w:p w:rsidR="00E97F1F" w:rsidRDefault="00E97F1F"/>
    <w:p w:rsidR="000F5445" w:rsidRPr="00A30E43" w:rsidRDefault="000F5445" w:rsidP="00A30E43">
      <w:pPr>
        <w:pStyle w:val="ListParagraph"/>
        <w:numPr>
          <w:ilvl w:val="0"/>
          <w:numId w:val="3"/>
        </w:numPr>
        <w:tabs>
          <w:tab w:val="left" w:pos="6650"/>
        </w:tabs>
        <w:spacing w:line="360" w:lineRule="auto"/>
        <w:ind w:left="540" w:hanging="540"/>
        <w:jc w:val="center"/>
        <w:rPr>
          <w:b/>
          <w:sz w:val="28"/>
          <w:szCs w:val="26"/>
          <w:u w:val="single"/>
        </w:rPr>
      </w:pPr>
      <w:r w:rsidRPr="00A30E43">
        <w:rPr>
          <w:b/>
          <w:sz w:val="28"/>
          <w:szCs w:val="26"/>
          <w:u w:val="single"/>
        </w:rPr>
        <w:lastRenderedPageBreak/>
        <w:t>THÔNG TIN NGẮN ĐIỂM BÁO</w:t>
      </w:r>
    </w:p>
    <w:p w:rsidR="00564B1B" w:rsidRPr="00564B1B" w:rsidRDefault="00564B1B" w:rsidP="0074717D">
      <w:pPr>
        <w:pStyle w:val="NormalWeb"/>
        <w:spacing w:before="120" w:beforeAutospacing="0"/>
        <w:ind w:left="360"/>
        <w:jc w:val="both"/>
        <w:rPr>
          <w:sz w:val="26"/>
          <w:szCs w:val="26"/>
          <w:u w:val="single"/>
        </w:rPr>
      </w:pPr>
      <w:r w:rsidRPr="00564B1B">
        <w:rPr>
          <w:sz w:val="26"/>
          <w:szCs w:val="26"/>
          <w:u w:val="single"/>
        </w:rPr>
        <w:t xml:space="preserve">1. FDA: KHUYẾN CÁO VỀ VIỆC SỬ DỤNG CÁC THUỐC CHỐNG ĐÔNG CHỨA ENOXAPARIN </w:t>
      </w:r>
    </w:p>
    <w:p w:rsidR="00564B1B" w:rsidRPr="006177B3" w:rsidRDefault="00564B1B" w:rsidP="0074717D">
      <w:pPr>
        <w:pStyle w:val="NormalWeb"/>
        <w:ind w:left="360"/>
        <w:jc w:val="both"/>
        <w:rPr>
          <w:sz w:val="26"/>
          <w:szCs w:val="26"/>
        </w:rPr>
      </w:pPr>
      <w:r w:rsidRPr="006177B3">
        <w:rPr>
          <w:bCs/>
          <w:sz w:val="26"/>
          <w:szCs w:val="26"/>
        </w:rPr>
        <w:t xml:space="preserve">Ngày 06/11/2013, Cơ quan Quản lý Dược phẩm và Thực phẩm Hoa Kỳ (FDA) có khuyến cáo mới về thời gian sử dụng các thuốc chống đông chứa enoxaparin trên bệnh nhân cấy ghép hoặc loại bỏ catheter tủy sống nhằm giảm thiểu nguy cơ máu tụ ngoài màng cứng/tủy sống. </w:t>
      </w:r>
    </w:p>
    <w:p w:rsidR="00564B1B" w:rsidRPr="006177B3" w:rsidRDefault="00564B1B" w:rsidP="0074717D">
      <w:pPr>
        <w:pStyle w:val="NormalWeb"/>
        <w:ind w:left="360"/>
        <w:jc w:val="both"/>
        <w:rPr>
          <w:sz w:val="26"/>
          <w:szCs w:val="26"/>
        </w:rPr>
      </w:pPr>
      <w:r w:rsidRPr="006177B3">
        <w:rPr>
          <w:sz w:val="26"/>
          <w:szCs w:val="26"/>
        </w:rPr>
        <w:t>Theo đó, khi sử dụng enoxaparin trên bệnh nhân tiến hành thủ thuật cấy ghép hoặc loại bỏ catheter tủy sống, cần kéo dài thời gian chờ đợi thực hiện thủ thuật ít nhất 12 giờ sau khi dùng liều dự phòng huyết khối tĩnh mạch sâu và ít nhất 24 giờ sau khi dùng liều điều trị (1mg/kg x 2 lần/ngày hoặc 1,5mg/kg x 1 lần/ngày). Không sử dụng enoxaparin liều tiếp theo sớm hơn 4 giờ sau khi tiến hành thủ thuật. Cán bộ y tế cần xem xét cả nguy cơ huyết khối và nguy cơ chảy máu trong điều kiện tiến hành thủ thuật và các yếu tố nguy cơ khác của bệnh nhân khi cân nhắc lợi ích/nguy cơ của thuốc.</w:t>
      </w:r>
    </w:p>
    <w:p w:rsidR="00564B1B" w:rsidRPr="006177B3" w:rsidRDefault="00564B1B" w:rsidP="0074717D">
      <w:pPr>
        <w:pStyle w:val="NormalWeb"/>
        <w:ind w:left="360"/>
        <w:jc w:val="both"/>
        <w:rPr>
          <w:sz w:val="26"/>
          <w:szCs w:val="26"/>
        </w:rPr>
      </w:pPr>
      <w:r w:rsidRPr="006177B3">
        <w:rPr>
          <w:sz w:val="26"/>
          <w:szCs w:val="26"/>
        </w:rPr>
        <w:t>Máu tụ ngoài màng cứng/tủy sống là nguy cơ đã biết của các thuốc chứa enoxaparin khi sử dụng trên bệnh nhân thực hiện các thủ thuật trên tủy sống và đã được mô tả trong mục Cảnh báo đặc biệt (Boxed warning) và mục Cảnh báo và Thận trọng (Warnings and Precautions) trong nhãn của các thuốc chứa enoxaparin. Sau khi cơ sở dữ liệu về phản ứng có hại của thuốc tiếp tục ghi nhận những trường hợp bệnh nhân gặp biến cố bất lợi nghiêm trọng khi sử dụng các thuốc chứa enoxaparin và heparin khối lượng phân tử thấp, FDA đã làm việc với các công ty dược phẩm có các chế phẩm thuốc này nhằm mục đích đánh giá sâu hơn về nguy cơ của thuốc và thống nhất bổ sung khuyến cáo về thời gian sử dụng các thuốc chứa enoxaparin và heparin khối lượng phân tử thấp vào mục Cảnh báo và thận trọng trong nhãn của các thuốc này. Ngoài ra, FDA cũng đang tiếp tục đánh giá độ an toàn của các thuốc chống đông khác để cân nhắc mức độ cần thiết cập nhật các thông tin cảnh báo trên vào nhãn thuốc.</w:t>
      </w:r>
    </w:p>
    <w:p w:rsidR="00564B1B" w:rsidRPr="006177B3" w:rsidRDefault="00564B1B" w:rsidP="0074717D">
      <w:pPr>
        <w:pStyle w:val="NormalWeb"/>
        <w:ind w:left="360"/>
        <w:jc w:val="both"/>
        <w:rPr>
          <w:sz w:val="26"/>
          <w:szCs w:val="26"/>
        </w:rPr>
      </w:pPr>
      <w:r w:rsidRPr="006177B3">
        <w:rPr>
          <w:sz w:val="26"/>
          <w:szCs w:val="26"/>
        </w:rPr>
        <w:t>FDA đưa ra một số khuyến cáo dành cho cán bộ y tế như sau:</w:t>
      </w:r>
    </w:p>
    <w:p w:rsidR="00564B1B" w:rsidRPr="006177B3" w:rsidRDefault="00564B1B" w:rsidP="0074717D">
      <w:pPr>
        <w:pStyle w:val="NormalWeb"/>
        <w:ind w:left="360"/>
        <w:jc w:val="both"/>
        <w:rPr>
          <w:sz w:val="26"/>
          <w:szCs w:val="26"/>
        </w:rPr>
      </w:pPr>
      <w:r w:rsidRPr="006177B3">
        <w:rPr>
          <w:sz w:val="26"/>
          <w:szCs w:val="26"/>
        </w:rPr>
        <w:t>-         Cơ sở dữ liệu về phản ứng có hại của thuốc vẫn tiếp tục ghi nhận các trường hợp máu tụ ngoài màng cứng/tủy sống dẫn đến liệt kéo dài hoặc vĩnh viễn liên quan đến việc sử dụng đồng thời enoxaparin và heparin khối lượng phân tử thấp cùng các thuốc gây tê ngoài màng cứng/tủy sống hoặc thủ thuật chọc dò tủy sống.</w:t>
      </w:r>
    </w:p>
    <w:p w:rsidR="00564B1B" w:rsidRPr="006177B3" w:rsidRDefault="00564B1B" w:rsidP="0074717D">
      <w:pPr>
        <w:pStyle w:val="NormalWeb"/>
        <w:ind w:left="360"/>
        <w:jc w:val="both"/>
        <w:rPr>
          <w:sz w:val="26"/>
          <w:szCs w:val="26"/>
        </w:rPr>
      </w:pPr>
      <w:r w:rsidRPr="006177B3">
        <w:rPr>
          <w:sz w:val="26"/>
          <w:szCs w:val="26"/>
        </w:rPr>
        <w:t>-         Các cán bộ y tế cần xem xét các thuốc chống đông đang được sử dụng trên bệnh nhân và cân nhắc thời gian sử dụng thuốc phù hợp khi thực hiện các thủ thuật cấy ghép hoặc loại bỏ catheter tủy sống.</w:t>
      </w:r>
    </w:p>
    <w:p w:rsidR="00564B1B" w:rsidRPr="006177B3" w:rsidRDefault="00564B1B" w:rsidP="0074717D">
      <w:pPr>
        <w:pStyle w:val="NormalWeb"/>
        <w:ind w:left="360"/>
        <w:jc w:val="both"/>
        <w:rPr>
          <w:sz w:val="26"/>
          <w:szCs w:val="26"/>
        </w:rPr>
      </w:pPr>
      <w:r w:rsidRPr="006177B3">
        <w:rPr>
          <w:sz w:val="26"/>
          <w:szCs w:val="26"/>
        </w:rPr>
        <w:t xml:space="preserve">-         Để giảm thiểu nguy cơ chảy máu liên quan đến việc sử dụng đồng thời enoxaparin và các thuốc gây tê/gây mê ngoài màng cứng/tủy sống, cán bộ y tế chỉ tiến hành thực hiện các thủ thuật cấy ghép hoặc loại bỏ catheter tủy sống khi tác dụng chống đông của enoxaparin thấp. </w:t>
      </w:r>
      <w:r w:rsidRPr="006177B3">
        <w:rPr>
          <w:sz w:val="26"/>
          <w:szCs w:val="26"/>
        </w:rPr>
        <w:lastRenderedPageBreak/>
        <w:t>Cần xem xét các yếu tố liều dùng và thời gian bán thải của thuốc khi sử dụng trên bệnh nhân thực hiện các thủ thuật này. Tính đến nay chưa có nghiên cứu về thời gian sử dụng thuốc; tuy nhiên, FDA cho rằng các khuyến cáo mới cần được bổ sung nhằm mục đích giảm thiểu nguy cơ.</w:t>
      </w:r>
    </w:p>
    <w:p w:rsidR="00564B1B" w:rsidRPr="006177B3" w:rsidRDefault="00564B1B" w:rsidP="0074717D">
      <w:pPr>
        <w:pStyle w:val="NormalWeb"/>
        <w:ind w:left="360"/>
        <w:jc w:val="both"/>
        <w:rPr>
          <w:sz w:val="26"/>
          <w:szCs w:val="26"/>
        </w:rPr>
      </w:pPr>
      <w:r w:rsidRPr="006177B3">
        <w:rPr>
          <w:sz w:val="26"/>
          <w:szCs w:val="26"/>
        </w:rPr>
        <w:t>-         Khi sử dụng enoxaparin trên bệnh nhân tiến hành thủ thuật cấy ghép hoặc loại bỏ catheter tủy sống, cần kéo dài thời gian chờ đợi thực hiện thủ thuật ít nhất 12 giờ sau khi dùng liều dự phòng huyết khối tĩnh mạch sâu và ít nhất 24 giờ sau khi dùng liều điều trị (1mg/kg x 2 lần/ngày hoặc 1,5mg/kg x 1 lần/ngày). Không sử dụng enoxaparin liều tiếp theo sớm hơn 4 giờ sau khi tiến hành thủ thuật.</w:t>
      </w:r>
    </w:p>
    <w:p w:rsidR="00564B1B" w:rsidRPr="006177B3" w:rsidRDefault="00564B1B" w:rsidP="0074717D">
      <w:pPr>
        <w:pStyle w:val="NormalWeb"/>
        <w:ind w:left="360"/>
        <w:jc w:val="both"/>
        <w:rPr>
          <w:sz w:val="26"/>
          <w:szCs w:val="26"/>
        </w:rPr>
      </w:pPr>
      <w:r w:rsidRPr="006177B3">
        <w:rPr>
          <w:sz w:val="26"/>
          <w:szCs w:val="26"/>
        </w:rPr>
        <w:t>-         Khi cân nhắc lợi ích/nguy cơ của thuốc, cán bộ y tế cần xem xét cả nguy cơ huyết khối và nguy cơ chảy máu trong điều kiện tiến hành thủ thuật và các yếu tố nguy cơ khác của bệnh nhân.</w:t>
      </w:r>
    </w:p>
    <w:p w:rsidR="00564B1B" w:rsidRPr="006177B3" w:rsidRDefault="00564B1B" w:rsidP="0074717D">
      <w:pPr>
        <w:pStyle w:val="NormalWeb"/>
        <w:ind w:left="360"/>
        <w:jc w:val="both"/>
        <w:rPr>
          <w:sz w:val="26"/>
          <w:szCs w:val="26"/>
        </w:rPr>
      </w:pPr>
      <w:r w:rsidRPr="006177B3">
        <w:rPr>
          <w:sz w:val="26"/>
          <w:szCs w:val="26"/>
        </w:rPr>
        <w:t>-         Nếu thuốc chống đông được sử dụng đồng thời cùng các thuốc gây tê ngoài màng cứng/tủy sống, cần theo dõi chặt chẽ bệnh nhân để phát hiện các dấu hiệu và triệu chứng bất thường trên thần kinh như đau cột sống thắt lưng, suy giảm vận động và cảm giác, tê bì và yếu chi dưới, rối loạn hoạt động ruột và/hoặc bàng quang.</w:t>
      </w:r>
    </w:p>
    <w:p w:rsidR="00564B1B" w:rsidRPr="006177B3" w:rsidRDefault="00564B1B" w:rsidP="0074717D">
      <w:pPr>
        <w:pStyle w:val="NormalWeb"/>
        <w:ind w:left="360"/>
        <w:jc w:val="both"/>
        <w:rPr>
          <w:sz w:val="26"/>
          <w:szCs w:val="26"/>
        </w:rPr>
      </w:pPr>
      <w:r w:rsidRPr="006177B3">
        <w:rPr>
          <w:sz w:val="26"/>
          <w:szCs w:val="26"/>
        </w:rPr>
        <w:t>-         Bệnh nhân cần trao đổi với cán bộ y tế ngay khi gặp các triệu chứng hoặc biểu hiện bất thường trên.</w:t>
      </w:r>
    </w:p>
    <w:p w:rsidR="00564B1B" w:rsidRPr="006177B3" w:rsidRDefault="00564B1B" w:rsidP="0074717D">
      <w:pPr>
        <w:pStyle w:val="NormalWeb"/>
        <w:ind w:left="360"/>
        <w:jc w:val="both"/>
        <w:rPr>
          <w:sz w:val="26"/>
          <w:szCs w:val="26"/>
        </w:rPr>
      </w:pPr>
      <w:r w:rsidRPr="006177B3">
        <w:rPr>
          <w:sz w:val="26"/>
          <w:szCs w:val="26"/>
        </w:rPr>
        <w:t>-         Nếu nghi ngờ bệnh nhân có các dấu hiệu và triệu chứng máu tụ cột sống, cán bộ y tế cần tiến hành chẩn đoán và điều trị sớm cho bệnh nhân bao gồm việc thực hiện các phương pháp giảm sức ép cột sống.</w:t>
      </w:r>
    </w:p>
    <w:p w:rsidR="00564B1B" w:rsidRPr="006177B3" w:rsidRDefault="00564B1B" w:rsidP="0074717D">
      <w:pPr>
        <w:pStyle w:val="NormalWeb"/>
        <w:ind w:left="360"/>
        <w:jc w:val="both"/>
        <w:rPr>
          <w:sz w:val="26"/>
          <w:szCs w:val="26"/>
        </w:rPr>
      </w:pPr>
      <w:r w:rsidRPr="006177B3">
        <w:rPr>
          <w:sz w:val="26"/>
          <w:szCs w:val="26"/>
        </w:rPr>
        <w:t>-         Cán bộ y tế cần lưu ý tất cả các thuốc chống đông đều có nguy cơ gây máu tụ ngoài màng cứng/tủy sống khi dùng đồng thời cùng các thuốc gây tê ngoài màng cứng/tủy sống hoặc thủ thuật chọc dò tủy sống.</w:t>
      </w:r>
    </w:p>
    <w:p w:rsidR="00564B1B" w:rsidRDefault="00564B1B" w:rsidP="0074717D">
      <w:pPr>
        <w:pStyle w:val="NormalWeb"/>
        <w:ind w:left="360"/>
        <w:jc w:val="both"/>
        <w:rPr>
          <w:i/>
          <w:sz w:val="22"/>
          <w:szCs w:val="22"/>
        </w:rPr>
      </w:pPr>
      <w:r w:rsidRPr="006177B3">
        <w:rPr>
          <w:b/>
          <w:sz w:val="22"/>
          <w:szCs w:val="22"/>
          <w:u w:val="single"/>
        </w:rPr>
        <w:t>Nguồn:</w:t>
      </w:r>
      <w:r w:rsidRPr="006177B3">
        <w:rPr>
          <w:sz w:val="22"/>
          <w:szCs w:val="22"/>
        </w:rPr>
        <w:t> </w:t>
      </w:r>
      <w:r w:rsidRPr="006177B3">
        <w:rPr>
          <w:i/>
          <w:sz w:val="22"/>
          <w:szCs w:val="22"/>
        </w:rPr>
        <w:t>Cục quản lý Thực phẩm và Dược phẩm Hoa Kỳ - FDA</w:t>
      </w:r>
    </w:p>
    <w:p w:rsidR="00A30E43" w:rsidRPr="00A30E43" w:rsidRDefault="00A30E43" w:rsidP="0074717D">
      <w:pPr>
        <w:jc w:val="both"/>
        <w:rPr>
          <w:sz w:val="26"/>
          <w:u w:val="single"/>
        </w:rPr>
      </w:pPr>
      <w:r w:rsidRPr="00A30E43">
        <w:rPr>
          <w:sz w:val="26"/>
          <w:u w:val="single"/>
        </w:rPr>
        <w:t>2. CEFTRIAXONE LIÊN QUAN ĐẾN SUY THẬN Ở TRẺ EM</w:t>
      </w:r>
    </w:p>
    <w:p w:rsidR="00A30E43" w:rsidRPr="00A30E43" w:rsidRDefault="00A30E43" w:rsidP="0074717D">
      <w:pPr>
        <w:jc w:val="both"/>
        <w:rPr>
          <w:sz w:val="26"/>
        </w:rPr>
      </w:pPr>
    </w:p>
    <w:p w:rsidR="00A30E43" w:rsidRPr="00A30E43" w:rsidRDefault="00A30E43" w:rsidP="0074717D">
      <w:pPr>
        <w:jc w:val="both"/>
        <w:rPr>
          <w:sz w:val="26"/>
        </w:rPr>
      </w:pPr>
      <w:r w:rsidRPr="00A30E43">
        <w:rPr>
          <w:sz w:val="26"/>
        </w:rPr>
        <w:t>Kết quả của một nghiên cứu khách quan về Ceftriaxone vừa được đăng tải trên tạp chí Pediatrics vào ngày 24 tháng 3 đã kết luận rằng việc sử dụng Ceftriaxone ở liều điều trị có thể là nguyên nhân gây ra sỏi thận và suy thận cấp ở trẻ em. Các tổn thương này có thể phục hồi được bằng điều trị hỗ trợ sớm.</w:t>
      </w:r>
    </w:p>
    <w:p w:rsidR="00A30E43" w:rsidRPr="00A30E43" w:rsidRDefault="00A30E43" w:rsidP="0074717D">
      <w:pPr>
        <w:jc w:val="both"/>
        <w:rPr>
          <w:sz w:val="26"/>
        </w:rPr>
      </w:pPr>
    </w:p>
    <w:p w:rsidR="00A30E43" w:rsidRPr="00A30E43" w:rsidRDefault="00A30E43" w:rsidP="0074717D">
      <w:pPr>
        <w:jc w:val="both"/>
        <w:rPr>
          <w:sz w:val="26"/>
        </w:rPr>
      </w:pPr>
      <w:r w:rsidRPr="00A30E43">
        <w:rPr>
          <w:sz w:val="26"/>
        </w:rPr>
        <w:t xml:space="preserve">Ceftriaxone là một kháng sinh thông dụng trong điều trị nhiễm khuẩn ở trẻ em; các tác dụng phụ đã được ghi nhận của thuốc này trong đó có tạo sỏi thận, tạo bùn và sỏi giả đường mật. Sự tạo thành tinh thể đường tiết niệu bám vào các tế bào ống thận cũng đã được nghiên cứu trong quá trình điều trị như là một trong những nguyên nhân dẫn đến suy thận cấp. Một vài nghiên cứu đã </w:t>
      </w:r>
      <w:r w:rsidRPr="00A30E43">
        <w:rPr>
          <w:sz w:val="26"/>
        </w:rPr>
        <w:lastRenderedPageBreak/>
        <w:t>báo cáo về tình trạng suy thận cấp trẻ em liên quan đến ceftriaxone, tuy nhiên các trường hợp này vẫn còn tương đối hiếm gặp.</w:t>
      </w:r>
    </w:p>
    <w:p w:rsidR="00A30E43" w:rsidRPr="00A30E43" w:rsidRDefault="00A30E43" w:rsidP="0074717D">
      <w:pPr>
        <w:jc w:val="both"/>
        <w:rPr>
          <w:sz w:val="26"/>
        </w:rPr>
      </w:pPr>
    </w:p>
    <w:p w:rsidR="00A30E43" w:rsidRPr="00A30E43" w:rsidRDefault="00A30E43" w:rsidP="0074717D">
      <w:pPr>
        <w:jc w:val="both"/>
        <w:rPr>
          <w:sz w:val="26"/>
        </w:rPr>
      </w:pPr>
      <w:r w:rsidRPr="00A30E43">
        <w:rPr>
          <w:sz w:val="26"/>
        </w:rPr>
        <w:t>Trên cơ sở đó, một nghiên cứu hồi cứu, có kết quả vừa được đăng tải trên tạp chí Pediatrics, đã được thực trên 31 bệnh nhi bị suy thận cấp sau khi điều trị bằng ceftriaxone trong khoảng thời gian từ ngày 1/1/2003 đến ngày 30/06/2012 tại bệnh viện Tongji (Vũ Hán, Trung Quốc). Trong đó, một số bệnh nhi hoàn toàn không có tiền căn bệnh lý về thận. Suy thận cấp được chẩn đoán dựa trên triệu chứng lâm sàng, bao gồm thiểu niệu cấp, đau hông, tiểu buốt, và giá trị sinh hoá, bao gồm nồng độ creatinine và nitơ máu. Phương pháp điều trị suy thận bao gồm sử dụng thuốc chống co thắt cơ trơn, kiềm hoá nước tiểu với natri bicarbonate, kháng sinh, truyền albumin và dexamethasone liều thấp.</w:t>
      </w:r>
    </w:p>
    <w:p w:rsidR="00A30E43" w:rsidRPr="00A30E43" w:rsidRDefault="00A30E43" w:rsidP="0074717D">
      <w:pPr>
        <w:jc w:val="both"/>
        <w:rPr>
          <w:sz w:val="26"/>
        </w:rPr>
      </w:pPr>
    </w:p>
    <w:p w:rsidR="00A30E43" w:rsidRPr="00A30E43" w:rsidRDefault="00A30E43" w:rsidP="0074717D">
      <w:pPr>
        <w:jc w:val="both"/>
        <w:rPr>
          <w:sz w:val="26"/>
        </w:rPr>
      </w:pPr>
      <w:r w:rsidRPr="00A30E43">
        <w:rPr>
          <w:sz w:val="26"/>
        </w:rPr>
        <w:t>Độ tuổi trung bình của các bệnh nhi là 5,1 tuổi và ghi nhận cho thấy, ceftriaxone đã được sử dụng trung bình khoảng 5,2 ngày trước khi xuất hiện suy thận cấp. Về liều dùng, thống kê từ 13 trường hợp, liều trung bình khoảng từ 70 đến 100 mg/kg mỗi ngày (trung bình 86,7 mg/kg/ngày). Triệu chứng lâm sàng ghi nhận rõ nhất là thiểu niệu cấp (31/31 trường hợp), tiếp theo là đau hông (trẻ trên 3 tuổi, 25/25 TH), quấy khóc nhiều (trẻ dưới 3 tuổi, 6/6 TH) đi kèm với có/không nôn ói (19/31 TH). Kết quả siêu âm cho thấy thận ứ nước nhẹ ở 25 trong số 31 TH và 11 TH có sỏi thận.</w:t>
      </w:r>
    </w:p>
    <w:p w:rsidR="00A30E43" w:rsidRPr="00A30E43" w:rsidRDefault="00A30E43" w:rsidP="0074717D">
      <w:pPr>
        <w:jc w:val="both"/>
        <w:rPr>
          <w:sz w:val="26"/>
        </w:rPr>
      </w:pPr>
    </w:p>
    <w:p w:rsidR="00A30E43" w:rsidRPr="00A30E43" w:rsidRDefault="00A30E43" w:rsidP="0074717D">
      <w:pPr>
        <w:jc w:val="both"/>
        <w:rPr>
          <w:sz w:val="26"/>
        </w:rPr>
      </w:pPr>
      <w:r w:rsidRPr="00A30E43">
        <w:rPr>
          <w:sz w:val="26"/>
        </w:rPr>
        <w:t xml:space="preserve">Có 9 bệnh nhi phục hồi hoàn toàn sau 1 đến 4 ngày điều trị. 21 bệnh nhi không đáp ứng với điều trị bằng thuốc đã được tiến hành đặt ống thông tiểu ngược dòng và sau đó, 20 trẻ đã có dòng nước tiểu bình thường. 1 trẻ có sỏi thận </w:t>
      </w:r>
      <w:r w:rsidR="0074717D">
        <w:rPr>
          <w:sz w:val="26"/>
        </w:rPr>
        <w:t>lớn</w:t>
      </w:r>
      <w:r w:rsidRPr="00A30E43">
        <w:rPr>
          <w:sz w:val="26"/>
        </w:rPr>
        <w:t>, không thể đặt ống thông tiểu được lọc máu 3 lần trước khi có nước tiểu bình thường. Sỏi thận được lấy ra từ 4 trường hợp bệnh nhi và phân tích khối phổ cho thấy thành phần chính của khối sỏi là cefriaxone.</w:t>
      </w:r>
    </w:p>
    <w:p w:rsidR="00A30E43" w:rsidRPr="00A30E43" w:rsidRDefault="00A30E43" w:rsidP="0074717D">
      <w:pPr>
        <w:jc w:val="both"/>
        <w:rPr>
          <w:sz w:val="26"/>
        </w:rPr>
      </w:pPr>
    </w:p>
    <w:p w:rsidR="00A30E43" w:rsidRPr="00A30E43" w:rsidRDefault="00A30E43" w:rsidP="0074717D">
      <w:pPr>
        <w:jc w:val="both"/>
        <w:rPr>
          <w:sz w:val="26"/>
        </w:rPr>
      </w:pPr>
      <w:r w:rsidRPr="00A30E43">
        <w:rPr>
          <w:sz w:val="26"/>
        </w:rPr>
        <w:t>Trung bình thời gian điều trị khoảng 1,8 ngày với thời gian thiểu niệu trung bình là 3,1 ngày. Tất cả các trẻ đều hồi phục sau điều trị.</w:t>
      </w:r>
    </w:p>
    <w:p w:rsidR="00A30E43" w:rsidRPr="00A30E43" w:rsidRDefault="00A30E43" w:rsidP="0074717D">
      <w:pPr>
        <w:jc w:val="both"/>
        <w:rPr>
          <w:sz w:val="26"/>
        </w:rPr>
      </w:pPr>
    </w:p>
    <w:p w:rsidR="00A30E43" w:rsidRPr="00A30E43" w:rsidRDefault="00A30E43" w:rsidP="0074717D">
      <w:pPr>
        <w:jc w:val="both"/>
        <w:rPr>
          <w:sz w:val="26"/>
        </w:rPr>
      </w:pPr>
      <w:r w:rsidRPr="00A30E43">
        <w:rPr>
          <w:sz w:val="26"/>
        </w:rPr>
        <w:t>Hạn chế của nghiên cứu nằm ở cỡ mẫu nhỏ, thiết kế nghiên cứu hồi cứu, và dữ liệu về liều điều trị của ceftriaxone chưa ghi nhận đầy đủ (13/31 TH). Hơn nữa, cấu trúc giống hạt cát (sand-grain nature) của sỏi ceftrixone gây khó khăn trong việc thu thập và số lượng mẫu sỏi chỉ được lấy ra từ 4 bệnh nhân.</w:t>
      </w:r>
    </w:p>
    <w:p w:rsidR="00A30E43" w:rsidRPr="00A30E43" w:rsidRDefault="00A30E43" w:rsidP="0074717D">
      <w:pPr>
        <w:jc w:val="both"/>
        <w:rPr>
          <w:sz w:val="26"/>
        </w:rPr>
      </w:pPr>
    </w:p>
    <w:p w:rsidR="00A30E43" w:rsidRPr="00A30E43" w:rsidRDefault="00A30E43" w:rsidP="0074717D">
      <w:pPr>
        <w:jc w:val="both"/>
        <w:rPr>
          <w:sz w:val="26"/>
        </w:rPr>
      </w:pPr>
      <w:r w:rsidRPr="00A30E43">
        <w:rPr>
          <w:sz w:val="26"/>
        </w:rPr>
        <w:t>Trên cơ sở kết quả nghiên cứu, tác giả khuyến cáo các bác sĩ nên theo dõi triệu chứng thiểu niệu cấp hoặc đau hông ở trẻ em đang điều trị với ceftriaxone và dừng ngay ceftrixone khi thấy các triệu chứng này, sau đó thực hiện các xét nghiệm tiếp theo như sinh hoá máu và siêu âm để chẩn đoán tình trạng suy thận cấp. Nếu có, các biện pháp điều trị từ sớm được khuyến cáo mạnh mẽ.</w:t>
      </w:r>
    </w:p>
    <w:p w:rsidR="00A30E43" w:rsidRPr="00A30E43" w:rsidRDefault="00A30E43" w:rsidP="0074717D">
      <w:pPr>
        <w:jc w:val="both"/>
        <w:rPr>
          <w:sz w:val="26"/>
        </w:rPr>
      </w:pPr>
    </w:p>
    <w:p w:rsidR="00A30E43" w:rsidRPr="00A30E43" w:rsidRDefault="00A30E43" w:rsidP="0074717D">
      <w:pPr>
        <w:jc w:val="both"/>
        <w:rPr>
          <w:sz w:val="26"/>
        </w:rPr>
      </w:pPr>
      <w:r w:rsidRPr="00A30E43">
        <w:rPr>
          <w:sz w:val="26"/>
        </w:rPr>
        <w:t>“Kết quả nghiên cứu cho thấy suy thận cấp ở trẻ em do dùng ceftriaxone là có thể phục hồi được và có tiên lượng tốt nếu các biện pháp điều trị được thực hiện nhanh và sớm nhất có thể”, dẫn lời trưởng nhóm nghiên cứu.</w:t>
      </w:r>
    </w:p>
    <w:p w:rsidR="00A30E43" w:rsidRPr="00A30E43" w:rsidRDefault="00A30E43" w:rsidP="0074717D">
      <w:pPr>
        <w:jc w:val="both"/>
        <w:rPr>
          <w:sz w:val="26"/>
        </w:rPr>
      </w:pPr>
    </w:p>
    <w:p w:rsidR="00A30E43" w:rsidRPr="0074717D" w:rsidRDefault="00A30E43" w:rsidP="0074717D">
      <w:pPr>
        <w:jc w:val="both"/>
        <w:rPr>
          <w:sz w:val="26"/>
        </w:rPr>
      </w:pPr>
      <w:r w:rsidRPr="00A30E43">
        <w:rPr>
          <w:sz w:val="26"/>
        </w:rPr>
        <w:lastRenderedPageBreak/>
        <w:t>Đánh giá nghiên cứu này, BS. Keefe Davis, chuyên gia thận-nhi khoa tại đại học Y khoa Washington cho rằng, mặc dù còn một số điểm về mặt phương pháp chưa mang tín</w:t>
      </w:r>
      <w:r w:rsidR="0074717D">
        <w:rPr>
          <w:sz w:val="26"/>
        </w:rPr>
        <w:t>h</w:t>
      </w:r>
      <w:r w:rsidRPr="00A30E43">
        <w:rPr>
          <w:sz w:val="26"/>
        </w:rPr>
        <w:t xml:space="preserve"> khái quát đại diện cao nhưng nghiên cứu này đã làm sáng tỏ thêm một nguyên nhân nữa của suy thận cấp liên quan đến khả năng tạo sỏi đường tiết niệu của ceftriaxone. Trên lý thuyết, việc tránh mất nước và bù nước qua đường tĩnh mạch có thể cải thiện tình trạng thiểu niệu và việc tránh bổ sung canxi trong thời gian nằm viện được khuyến cáo. Chế độ ăn ít natri có th</w:t>
      </w:r>
      <w:r>
        <w:rPr>
          <w:sz w:val="26"/>
        </w:rPr>
        <w:t>ể có lợi tương tự</w:t>
      </w:r>
      <w:r w:rsidRPr="00A30E43">
        <w:rPr>
          <w:sz w:val="26"/>
        </w:rPr>
        <w:t xml:space="preserve"> như việc sử dụng các thuốc lợi thiểu thiazide.</w:t>
      </w:r>
    </w:p>
    <w:p w:rsidR="00A30E43" w:rsidRPr="00A30E43" w:rsidRDefault="00A30E43" w:rsidP="0074717D">
      <w:pPr>
        <w:pStyle w:val="Heading1"/>
        <w:jc w:val="both"/>
        <w:rPr>
          <w:rFonts w:ascii="Times New Roman" w:eastAsia="Times New Roman" w:hAnsi="Times New Roman" w:cs="Times New Roman"/>
          <w:b w:val="0"/>
          <w:i/>
          <w:sz w:val="22"/>
          <w:szCs w:val="22"/>
        </w:rPr>
      </w:pPr>
      <w:r w:rsidRPr="00A30E43">
        <w:rPr>
          <w:sz w:val="22"/>
          <w:u w:val="single"/>
        </w:rPr>
        <w:t>Nguồn:</w:t>
      </w:r>
      <w:r>
        <w:rPr>
          <w:b w:val="0"/>
          <w:sz w:val="22"/>
        </w:rPr>
        <w:t xml:space="preserve"> </w:t>
      </w:r>
      <w:r w:rsidRPr="00A30E43">
        <w:rPr>
          <w:rFonts w:ascii="Times New Roman" w:eastAsia="Times New Roman" w:hAnsi="Times New Roman" w:cs="Times New Roman"/>
          <w:b w:val="0"/>
          <w:i/>
          <w:sz w:val="22"/>
          <w:szCs w:val="22"/>
        </w:rPr>
        <w:t>Ceftriaxone Linked to Renal Failure in Children</w:t>
      </w:r>
      <w:r>
        <w:rPr>
          <w:rFonts w:ascii="Times New Roman" w:eastAsia="Times New Roman" w:hAnsi="Times New Roman" w:cs="Times New Roman"/>
          <w:b w:val="0"/>
          <w:i/>
          <w:sz w:val="22"/>
          <w:szCs w:val="22"/>
        </w:rPr>
        <w:t xml:space="preserve"> | </w:t>
      </w:r>
      <w:r w:rsidRPr="00A30E43">
        <w:rPr>
          <w:rFonts w:ascii="Times New Roman" w:eastAsia="Times New Roman" w:hAnsi="Times New Roman" w:cs="Times New Roman"/>
          <w:b w:val="0"/>
          <w:i/>
          <w:sz w:val="22"/>
          <w:szCs w:val="22"/>
        </w:rPr>
        <w:t>http://www.medscape.com/viewarticle/822489</w:t>
      </w:r>
    </w:p>
    <w:p w:rsidR="000F5445" w:rsidRPr="0074717D" w:rsidRDefault="000F5445" w:rsidP="00A30E43">
      <w:pPr>
        <w:pStyle w:val="ListParagraph"/>
        <w:numPr>
          <w:ilvl w:val="0"/>
          <w:numId w:val="3"/>
        </w:numPr>
        <w:tabs>
          <w:tab w:val="left" w:pos="6650"/>
        </w:tabs>
        <w:spacing w:line="360" w:lineRule="auto"/>
        <w:ind w:left="720"/>
        <w:jc w:val="center"/>
        <w:rPr>
          <w:b/>
          <w:sz w:val="28"/>
          <w:szCs w:val="26"/>
          <w:u w:val="single"/>
        </w:rPr>
      </w:pPr>
      <w:r w:rsidRPr="0074717D">
        <w:rPr>
          <w:b/>
          <w:sz w:val="28"/>
          <w:szCs w:val="26"/>
          <w:u w:val="single"/>
        </w:rPr>
        <w:t>THUỐC ĐÌNH CHỈ LƯU HÀNH – THUỐC RÚT SỐ ĐĂNG KÝ</w:t>
      </w:r>
    </w:p>
    <w:p w:rsidR="000F5445" w:rsidRPr="0074717D" w:rsidRDefault="00EC14FC" w:rsidP="0074717D">
      <w:pPr>
        <w:pStyle w:val="ListParagraph"/>
        <w:numPr>
          <w:ilvl w:val="0"/>
          <w:numId w:val="5"/>
        </w:numPr>
        <w:jc w:val="both"/>
        <w:rPr>
          <w:b/>
          <w:sz w:val="26"/>
        </w:rPr>
      </w:pPr>
      <w:r w:rsidRPr="00414432">
        <w:rPr>
          <w:b/>
          <w:sz w:val="26"/>
        </w:rPr>
        <w:t xml:space="preserve">Cục quản lý Dược thông báo: </w:t>
      </w:r>
      <w:r w:rsidRPr="00414432">
        <w:rPr>
          <w:sz w:val="26"/>
        </w:rPr>
        <w:t xml:space="preserve">Đình chỉ lưu hành trên toàn quốc thuốc </w:t>
      </w:r>
      <w:r w:rsidR="00440532" w:rsidRPr="00414432">
        <w:rPr>
          <w:sz w:val="26"/>
        </w:rPr>
        <w:t>Cefichem 100 mg (Cefixime USP 100 mg)</w:t>
      </w:r>
      <w:r w:rsidRPr="00414432">
        <w:rPr>
          <w:sz w:val="26"/>
        </w:rPr>
        <w:t xml:space="preserve">, Số lô: </w:t>
      </w:r>
      <w:r w:rsidR="00440532" w:rsidRPr="00414432">
        <w:rPr>
          <w:sz w:val="26"/>
        </w:rPr>
        <w:t>CT-13501</w:t>
      </w:r>
      <w:r w:rsidRPr="00414432">
        <w:rPr>
          <w:sz w:val="26"/>
        </w:rPr>
        <w:t xml:space="preserve">, HD: </w:t>
      </w:r>
      <w:r w:rsidR="00B85F9D" w:rsidRPr="00414432">
        <w:rPr>
          <w:sz w:val="26"/>
        </w:rPr>
        <w:t>09/05/2016, SĐK: VN-9044-09</w:t>
      </w:r>
      <w:r w:rsidRPr="00414432">
        <w:rPr>
          <w:sz w:val="26"/>
        </w:rPr>
        <w:t xml:space="preserve"> do công ty </w:t>
      </w:r>
      <w:r w:rsidR="00B85F9D" w:rsidRPr="00414432">
        <w:rPr>
          <w:sz w:val="26"/>
        </w:rPr>
        <w:t>Chemfar Organics Ltd., India sản xuất., công ty Sapharco</w:t>
      </w:r>
      <w:r w:rsidRPr="00414432">
        <w:rPr>
          <w:sz w:val="26"/>
        </w:rPr>
        <w:t xml:space="preserve"> nhập khẩu. Lý do:</w:t>
      </w:r>
      <w:r w:rsidR="00FF6361" w:rsidRPr="00414432">
        <w:rPr>
          <w:sz w:val="26"/>
        </w:rPr>
        <w:t xml:space="preserve"> Mẫu thuốc không đạt tiêu chuẩn về </w:t>
      </w:r>
      <w:r w:rsidR="00B85F9D" w:rsidRPr="00414432">
        <w:rPr>
          <w:sz w:val="26"/>
        </w:rPr>
        <w:t>chỉ tiêu hàm lượng nước theo TCCS</w:t>
      </w:r>
      <w:r w:rsidR="00FF6361" w:rsidRPr="00414432">
        <w:rPr>
          <w:sz w:val="26"/>
        </w:rPr>
        <w:t>.</w:t>
      </w:r>
    </w:p>
    <w:p w:rsidR="0074717D" w:rsidRPr="00414432" w:rsidRDefault="0074717D" w:rsidP="0074717D">
      <w:pPr>
        <w:pStyle w:val="ListParagraph"/>
        <w:jc w:val="both"/>
        <w:rPr>
          <w:b/>
          <w:sz w:val="26"/>
        </w:rPr>
      </w:pPr>
    </w:p>
    <w:p w:rsidR="00FF6361" w:rsidRPr="0074717D" w:rsidRDefault="00FF6361" w:rsidP="0074717D">
      <w:pPr>
        <w:pStyle w:val="ListParagraph"/>
        <w:numPr>
          <w:ilvl w:val="0"/>
          <w:numId w:val="5"/>
        </w:numPr>
        <w:jc w:val="both"/>
        <w:rPr>
          <w:b/>
          <w:sz w:val="26"/>
        </w:rPr>
      </w:pPr>
      <w:r w:rsidRPr="00414432">
        <w:rPr>
          <w:b/>
          <w:sz w:val="26"/>
        </w:rPr>
        <w:t xml:space="preserve">Cục quản lý Dược thông báo: </w:t>
      </w:r>
      <w:r w:rsidRPr="00414432">
        <w:rPr>
          <w:sz w:val="26"/>
        </w:rPr>
        <w:t xml:space="preserve">Đình chỉ lưu hành trên toàn quốc thuốc </w:t>
      </w:r>
      <w:r w:rsidR="00B85F9D" w:rsidRPr="00414432">
        <w:rPr>
          <w:sz w:val="26"/>
        </w:rPr>
        <w:t>Raul 200 (Cefpodoxime Proxetil Tablets USP 200 mg), Số lô: BT-46003</w:t>
      </w:r>
      <w:r w:rsidRPr="00414432">
        <w:rPr>
          <w:sz w:val="26"/>
        </w:rPr>
        <w:t>,</w:t>
      </w:r>
      <w:r w:rsidR="00B85F9D" w:rsidRPr="00414432">
        <w:rPr>
          <w:sz w:val="26"/>
        </w:rPr>
        <w:t xml:space="preserve"> HD: 04/04/2015</w:t>
      </w:r>
      <w:r w:rsidRPr="00414432">
        <w:rPr>
          <w:sz w:val="26"/>
        </w:rPr>
        <w:t>, SĐK:</w:t>
      </w:r>
      <w:r w:rsidR="00B85F9D" w:rsidRPr="00414432">
        <w:rPr>
          <w:sz w:val="26"/>
        </w:rPr>
        <w:t xml:space="preserve"> VN-10830-10</w:t>
      </w:r>
      <w:r w:rsidRPr="00414432">
        <w:rPr>
          <w:sz w:val="26"/>
        </w:rPr>
        <w:t xml:space="preserve"> do công ty</w:t>
      </w:r>
      <w:r w:rsidR="00B85F9D" w:rsidRPr="00414432">
        <w:rPr>
          <w:sz w:val="26"/>
        </w:rPr>
        <w:t>M/s.</w:t>
      </w:r>
      <w:r w:rsidRPr="00414432">
        <w:rPr>
          <w:sz w:val="26"/>
        </w:rPr>
        <w:t xml:space="preserve"> </w:t>
      </w:r>
      <w:r w:rsidR="00B85F9D" w:rsidRPr="00414432">
        <w:rPr>
          <w:sz w:val="26"/>
        </w:rPr>
        <w:t>MedEx</w:t>
      </w:r>
      <w:r w:rsidRPr="00414432">
        <w:rPr>
          <w:sz w:val="26"/>
        </w:rPr>
        <w:t xml:space="preserve"> </w:t>
      </w:r>
      <w:r w:rsidR="00B85F9D" w:rsidRPr="00414432">
        <w:rPr>
          <w:sz w:val="26"/>
        </w:rPr>
        <w:t xml:space="preserve">Laboratories, India </w:t>
      </w:r>
      <w:r w:rsidRPr="00414432">
        <w:rPr>
          <w:sz w:val="26"/>
        </w:rPr>
        <w:t>sản xuất</w:t>
      </w:r>
      <w:r w:rsidR="00B85F9D" w:rsidRPr="00414432">
        <w:rPr>
          <w:sz w:val="26"/>
        </w:rPr>
        <w:t>, công ty SOHACO</w:t>
      </w:r>
      <w:r w:rsidRPr="00414432">
        <w:rPr>
          <w:sz w:val="26"/>
        </w:rPr>
        <w:t xml:space="preserve"> nhập khẩu. Lý do: Mẫu thuốc không đạt tiêu chuẩn về các chỉ tiêu </w:t>
      </w:r>
      <w:r w:rsidR="00B85F9D" w:rsidRPr="00414432">
        <w:rPr>
          <w:sz w:val="26"/>
        </w:rPr>
        <w:t>nước, độ đồng đều đơn vị phân liều và định lượng.</w:t>
      </w:r>
      <w:r w:rsidR="0074717D">
        <w:rPr>
          <w:sz w:val="26"/>
        </w:rPr>
        <w:t xml:space="preserve"> </w:t>
      </w:r>
    </w:p>
    <w:p w:rsidR="0074717D" w:rsidRPr="0074717D" w:rsidRDefault="0074717D" w:rsidP="0074717D">
      <w:pPr>
        <w:jc w:val="center"/>
        <w:rPr>
          <w:b/>
          <w:sz w:val="28"/>
          <w:szCs w:val="28"/>
        </w:rPr>
      </w:pPr>
      <w:r w:rsidRPr="0074717D">
        <w:rPr>
          <w:b/>
          <w:sz w:val="28"/>
          <w:szCs w:val="28"/>
        </w:rPr>
        <w:sym w:font="Wingdings 2" w:char="F061"/>
      </w:r>
      <w:r w:rsidRPr="0074717D">
        <w:rPr>
          <w:b/>
          <w:sz w:val="28"/>
          <w:szCs w:val="28"/>
        </w:rPr>
        <w:sym w:font="Wingdings 2" w:char="F062"/>
      </w:r>
      <w:r w:rsidRPr="0074717D">
        <w:rPr>
          <w:b/>
          <w:sz w:val="28"/>
          <w:szCs w:val="28"/>
        </w:rPr>
        <w:t>|</w:t>
      </w:r>
      <w:r w:rsidRPr="0074717D">
        <w:rPr>
          <w:b/>
          <w:sz w:val="28"/>
          <w:szCs w:val="28"/>
        </w:rPr>
        <w:sym w:font="Wingdings 2" w:char="F061"/>
      </w:r>
      <w:r w:rsidRPr="0074717D">
        <w:rPr>
          <w:b/>
          <w:sz w:val="28"/>
          <w:szCs w:val="28"/>
        </w:rPr>
        <w:sym w:font="Wingdings 2" w:char="F062"/>
      </w:r>
    </w:p>
    <w:sectPr w:rsidR="0074717D" w:rsidRPr="0074717D" w:rsidSect="00564B1B">
      <w:footerReference w:type="default" r:id="rId8"/>
      <w:pgSz w:w="12240" w:h="15840"/>
      <w:pgMar w:top="1440" w:right="845"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7F4" w:rsidRDefault="001757F4" w:rsidP="0074717D">
      <w:r>
        <w:separator/>
      </w:r>
    </w:p>
  </w:endnote>
  <w:endnote w:type="continuationSeparator" w:id="1">
    <w:p w:rsidR="001757F4" w:rsidRDefault="001757F4" w:rsidP="00747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6079"/>
      <w:docPartObj>
        <w:docPartGallery w:val="Page Numbers (Bottom of Page)"/>
        <w:docPartUnique/>
      </w:docPartObj>
    </w:sdtPr>
    <w:sdtContent>
      <w:p w:rsidR="0074717D" w:rsidRDefault="0074717D">
        <w:pPr>
          <w:pStyle w:val="Footer"/>
          <w:jc w:val="center"/>
        </w:pPr>
        <w:r>
          <w:t>[</w:t>
        </w:r>
        <w:fldSimple w:instr=" PAGE   \* MERGEFORMAT ">
          <w:r w:rsidR="00E97F1F">
            <w:rPr>
              <w:noProof/>
            </w:rPr>
            <w:t>1</w:t>
          </w:r>
        </w:fldSimple>
        <w:r>
          <w:t>]</w:t>
        </w:r>
      </w:p>
    </w:sdtContent>
  </w:sdt>
  <w:p w:rsidR="0074717D" w:rsidRDefault="00747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7F4" w:rsidRDefault="001757F4" w:rsidP="0074717D">
      <w:r>
        <w:separator/>
      </w:r>
    </w:p>
  </w:footnote>
  <w:footnote w:type="continuationSeparator" w:id="1">
    <w:p w:rsidR="001757F4" w:rsidRDefault="001757F4" w:rsidP="00747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D2346"/>
    <w:multiLevelType w:val="hybridMultilevel"/>
    <w:tmpl w:val="3CDAC31C"/>
    <w:lvl w:ilvl="0" w:tplc="81EA804C">
      <w:start w:val="1"/>
      <w:numFmt w:val="upperRoman"/>
      <w:lvlText w:val="%1."/>
      <w:lvlJc w:val="left"/>
      <w:pPr>
        <w:tabs>
          <w:tab w:val="num" w:pos="720"/>
        </w:tabs>
        <w:ind w:left="720" w:hanging="720"/>
      </w:pPr>
      <w:rPr>
        <w:rFonts w:hint="default"/>
      </w:rPr>
    </w:lvl>
    <w:lvl w:ilvl="1" w:tplc="80BE5842">
      <w:start w:val="1"/>
      <w:numFmt w:val="decimal"/>
      <w:lvlText w:val="%2."/>
      <w:lvlJc w:val="left"/>
      <w:pPr>
        <w:tabs>
          <w:tab w:val="num" w:pos="360"/>
        </w:tabs>
        <w:ind w:left="360" w:hanging="360"/>
      </w:pPr>
      <w:rPr>
        <w:rFonts w:hint="default"/>
        <w:i w:val="0"/>
        <w:color w:val="auto"/>
      </w:rPr>
    </w:lvl>
    <w:lvl w:ilvl="2" w:tplc="0409000F">
      <w:start w:val="1"/>
      <w:numFmt w:val="decimal"/>
      <w:lvlText w:val="%3."/>
      <w:lvlJc w:val="left"/>
      <w:pPr>
        <w:tabs>
          <w:tab w:val="num" w:pos="2340"/>
        </w:tabs>
        <w:ind w:left="2340" w:hanging="360"/>
      </w:pPr>
      <w:rPr>
        <w:rFonts w:hint="default"/>
      </w:rPr>
    </w:lvl>
    <w:lvl w:ilvl="3" w:tplc="6D084B6E">
      <w:start w:val="7"/>
      <w:numFmt w:val="decimal"/>
      <w:lvlText w:val="%4"/>
      <w:lvlJc w:val="left"/>
      <w:pPr>
        <w:tabs>
          <w:tab w:val="num" w:pos="2880"/>
        </w:tabs>
        <w:ind w:left="2880" w:hanging="360"/>
      </w:pPr>
      <w:rPr>
        <w:rFonts w:hint="default"/>
      </w:rPr>
    </w:lvl>
    <w:lvl w:ilvl="4" w:tplc="0AFCE7A6">
      <w:start w:val="3"/>
      <w:numFmt w:val="bullet"/>
      <w:lvlText w:val="-"/>
      <w:lvlJc w:val="left"/>
      <w:pPr>
        <w:ind w:left="3763"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4D7984"/>
    <w:multiLevelType w:val="multilevel"/>
    <w:tmpl w:val="7CC8717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5A441D89"/>
    <w:multiLevelType w:val="hybridMultilevel"/>
    <w:tmpl w:val="AE5EDED0"/>
    <w:lvl w:ilvl="0" w:tplc="86EED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E4CA2"/>
    <w:multiLevelType w:val="hybridMultilevel"/>
    <w:tmpl w:val="1C16F5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C69F3"/>
    <w:multiLevelType w:val="hybridMultilevel"/>
    <w:tmpl w:val="5CF2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E3B7A"/>
    <w:multiLevelType w:val="hybridMultilevel"/>
    <w:tmpl w:val="7396AE16"/>
    <w:lvl w:ilvl="0" w:tplc="395865D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ocumentProtection w:edit="readOnly" w:enforcement="0"/>
  <w:defaultTabStop w:val="720"/>
  <w:characterSpacingControl w:val="doNotCompress"/>
  <w:footnotePr>
    <w:footnote w:id="0"/>
    <w:footnote w:id="1"/>
  </w:footnotePr>
  <w:endnotePr>
    <w:endnote w:id="0"/>
    <w:endnote w:id="1"/>
  </w:endnotePr>
  <w:compat/>
  <w:rsids>
    <w:rsidRoot w:val="000F5445"/>
    <w:rsid w:val="000606A6"/>
    <w:rsid w:val="000F5445"/>
    <w:rsid w:val="001757F4"/>
    <w:rsid w:val="00226FD0"/>
    <w:rsid w:val="00414432"/>
    <w:rsid w:val="00440532"/>
    <w:rsid w:val="00463323"/>
    <w:rsid w:val="00564B1B"/>
    <w:rsid w:val="005F218F"/>
    <w:rsid w:val="00676F0E"/>
    <w:rsid w:val="007078D0"/>
    <w:rsid w:val="0074717D"/>
    <w:rsid w:val="00A30E43"/>
    <w:rsid w:val="00B565A7"/>
    <w:rsid w:val="00B85F9D"/>
    <w:rsid w:val="00CD3F7B"/>
    <w:rsid w:val="00E97F1F"/>
    <w:rsid w:val="00EC14FC"/>
    <w:rsid w:val="00FA0C95"/>
    <w:rsid w:val="00FA3923"/>
    <w:rsid w:val="00FF6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4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30E43"/>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45"/>
    <w:pPr>
      <w:ind w:left="720"/>
      <w:contextualSpacing/>
    </w:pPr>
  </w:style>
  <w:style w:type="character" w:customStyle="1" w:styleId="apple-style-span">
    <w:name w:val="apple-style-span"/>
    <w:basedOn w:val="DefaultParagraphFont"/>
    <w:rsid w:val="000F5445"/>
  </w:style>
  <w:style w:type="paragraph" w:styleId="NormalWeb">
    <w:name w:val="Normal (Web)"/>
    <w:basedOn w:val="Normal"/>
    <w:uiPriority w:val="99"/>
    <w:unhideWhenUsed/>
    <w:rsid w:val="00EC14FC"/>
    <w:pPr>
      <w:spacing w:before="100" w:beforeAutospacing="1" w:after="100" w:afterAutospacing="1"/>
    </w:pPr>
  </w:style>
  <w:style w:type="character" w:customStyle="1" w:styleId="Heading1Char">
    <w:name w:val="Heading 1 Char"/>
    <w:basedOn w:val="DefaultParagraphFont"/>
    <w:link w:val="Heading1"/>
    <w:uiPriority w:val="9"/>
    <w:rsid w:val="00A30E43"/>
    <w:rPr>
      <w:rFonts w:ascii="Times" w:hAnsi="Times"/>
      <w:b/>
      <w:bCs/>
      <w:kern w:val="36"/>
      <w:sz w:val="48"/>
      <w:szCs w:val="48"/>
    </w:rPr>
  </w:style>
  <w:style w:type="paragraph" w:styleId="Header">
    <w:name w:val="header"/>
    <w:basedOn w:val="Normal"/>
    <w:link w:val="HeaderChar"/>
    <w:uiPriority w:val="99"/>
    <w:semiHidden/>
    <w:unhideWhenUsed/>
    <w:rsid w:val="0074717D"/>
    <w:pPr>
      <w:tabs>
        <w:tab w:val="center" w:pos="4680"/>
        <w:tab w:val="right" w:pos="9360"/>
      </w:tabs>
    </w:pPr>
  </w:style>
  <w:style w:type="character" w:customStyle="1" w:styleId="HeaderChar">
    <w:name w:val="Header Char"/>
    <w:basedOn w:val="DefaultParagraphFont"/>
    <w:link w:val="Header"/>
    <w:uiPriority w:val="99"/>
    <w:semiHidden/>
    <w:rsid w:val="007471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717D"/>
    <w:pPr>
      <w:tabs>
        <w:tab w:val="center" w:pos="4680"/>
        <w:tab w:val="right" w:pos="9360"/>
      </w:tabs>
    </w:pPr>
  </w:style>
  <w:style w:type="character" w:customStyle="1" w:styleId="FooterChar">
    <w:name w:val="Footer Char"/>
    <w:basedOn w:val="DefaultParagraphFont"/>
    <w:link w:val="Footer"/>
    <w:uiPriority w:val="99"/>
    <w:rsid w:val="007471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887939">
      <w:bodyDiv w:val="1"/>
      <w:marLeft w:val="0"/>
      <w:marRight w:val="0"/>
      <w:marTop w:val="0"/>
      <w:marBottom w:val="0"/>
      <w:divBdr>
        <w:top w:val="none" w:sz="0" w:space="0" w:color="auto"/>
        <w:left w:val="none" w:sz="0" w:space="0" w:color="auto"/>
        <w:bottom w:val="none" w:sz="0" w:space="0" w:color="auto"/>
        <w:right w:val="none" w:sz="0" w:space="0" w:color="auto"/>
      </w:divBdr>
    </w:div>
    <w:div w:id="979265299">
      <w:bodyDiv w:val="1"/>
      <w:marLeft w:val="0"/>
      <w:marRight w:val="0"/>
      <w:marTop w:val="0"/>
      <w:marBottom w:val="0"/>
      <w:divBdr>
        <w:top w:val="none" w:sz="0" w:space="0" w:color="auto"/>
        <w:left w:val="none" w:sz="0" w:space="0" w:color="auto"/>
        <w:bottom w:val="none" w:sz="0" w:space="0" w:color="auto"/>
        <w:right w:val="none" w:sz="0" w:space="0" w:color="auto"/>
      </w:divBdr>
    </w:div>
    <w:div w:id="12473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CH2</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AVENIS</dc:creator>
  <cp:keywords/>
  <dc:description/>
  <cp:lastModifiedBy>Unknown User</cp:lastModifiedBy>
  <cp:revision>3</cp:revision>
  <cp:lastPrinted>2014-04-04T08:24:00Z</cp:lastPrinted>
  <dcterms:created xsi:type="dcterms:W3CDTF">2014-07-24T06:56:00Z</dcterms:created>
  <dcterms:modified xsi:type="dcterms:W3CDTF">2014-07-24T06:58:00Z</dcterms:modified>
</cp:coreProperties>
</file>